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272" w:type="dxa"/>
        <w:tblBorders>
          <w:top w:val="single" w:sz="6" w:space="0" w:color="0000FF"/>
          <w:bottom w:val="single" w:sz="6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2850"/>
      </w:tblGrid>
      <w:tr w:rsidR="00B13272">
        <w:trPr>
          <w:cantSplit/>
          <w:trHeight w:val="1070"/>
        </w:trPr>
        <w:tc>
          <w:tcPr>
            <w:tcW w:w="7011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sz w:val="8"/>
              </w:rPr>
            </w:pPr>
            <w:bookmarkStart w:id="0" w:name="_GoBack"/>
            <w:bookmarkEnd w:id="0"/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:rsidR="00B13272" w:rsidRDefault="00B13272" w:rsidP="00C05327">
            <w:pPr>
              <w:pStyle w:val="berschrift1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</w:t>
            </w:r>
            <w:r w:rsidR="00C05327">
              <w:rPr>
                <w:rFonts w:ascii="Arial" w:hAnsi="Arial" w:cs="Arial"/>
              </w:rPr>
              <w:t>MITTEILUNG</w:t>
            </w:r>
          </w:p>
        </w:tc>
        <w:tc>
          <w:tcPr>
            <w:tcW w:w="2850" w:type="dxa"/>
            <w:tcBorders>
              <w:top w:val="single" w:sz="6" w:space="0" w:color="333399"/>
              <w:bottom w:val="single" w:sz="6" w:space="0" w:color="333399"/>
            </w:tcBorders>
          </w:tcPr>
          <w:p w:rsidR="00B13272" w:rsidRDefault="00B55BF5">
            <w:pPr>
              <w:pStyle w:val="Kopfzeile"/>
              <w:tabs>
                <w:tab w:val="clear" w:pos="4536"/>
                <w:tab w:val="center" w:pos="9000"/>
              </w:tabs>
              <w:ind w:right="360"/>
            </w:pPr>
            <w:r>
              <w:rPr>
                <w:noProof/>
              </w:rPr>
              <w:drawing>
                <wp:inline distT="0" distB="0" distL="0" distR="0">
                  <wp:extent cx="784860" cy="673100"/>
                  <wp:effectExtent l="0" t="0" r="0" b="0"/>
                  <wp:docPr id="1" name="Bild 1" descr="LOGO-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72">
        <w:trPr>
          <w:cantSplit/>
          <w:trHeight w:val="475"/>
        </w:trPr>
        <w:tc>
          <w:tcPr>
            <w:tcW w:w="7011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 Narrow" w:hAnsi="Arial Narrow"/>
                <w:sz w:val="28"/>
              </w:rPr>
            </w:pPr>
          </w:p>
          <w:p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Helvetica" w:hAnsi="Helvetica"/>
              </w:rPr>
            </w:pPr>
          </w:p>
        </w:tc>
        <w:tc>
          <w:tcPr>
            <w:tcW w:w="2850" w:type="dxa"/>
            <w:tcBorders>
              <w:top w:val="single" w:sz="6" w:space="0" w:color="333399"/>
              <w:bottom w:val="nil"/>
            </w:tcBorders>
          </w:tcPr>
          <w:p w:rsidR="00B13272" w:rsidRDefault="00B13272">
            <w:pPr>
              <w:tabs>
                <w:tab w:val="left" w:pos="6213"/>
              </w:tabs>
              <w:rPr>
                <w:rFonts w:ascii="Arial Narrow" w:hAnsi="Arial Narrow"/>
                <w:sz w:val="16"/>
              </w:rPr>
            </w:pP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Bundesverband der Deutschen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Binnenschif</w:t>
            </w:r>
            <w:r w:rsidR="003B373C">
              <w:rPr>
                <w:rFonts w:ascii="Arial Narrow" w:hAnsi="Arial Narrow"/>
                <w:spacing w:val="10"/>
                <w:sz w:val="16"/>
              </w:rPr>
              <w:t>f</w:t>
            </w:r>
            <w:r>
              <w:rPr>
                <w:rFonts w:ascii="Arial Narrow" w:hAnsi="Arial Narrow"/>
                <w:spacing w:val="10"/>
                <w:sz w:val="16"/>
              </w:rPr>
              <w:t>fahrt e.V. (BDB)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Dammstraße 15-17, 47119 Duisburg</w:t>
            </w:r>
          </w:p>
          <w:p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Verantwortlich:</w:t>
            </w:r>
          </w:p>
          <w:p w:rsidR="00B13272" w:rsidRDefault="00492D03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Fabian Spieß</w:t>
            </w:r>
          </w:p>
          <w:p w:rsidR="00B13272" w:rsidRPr="003C6680" w:rsidRDefault="000B6E09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Tel. (02 03) 8 00 06-</w:t>
            </w:r>
            <w:r w:rsidR="00492D03">
              <w:rPr>
                <w:rFonts w:ascii="Arial Narrow" w:hAnsi="Arial Narrow"/>
                <w:spacing w:val="10"/>
                <w:sz w:val="16"/>
              </w:rPr>
              <w:t>49</w:t>
            </w:r>
          </w:p>
          <w:p w:rsidR="00B13272" w:rsidRDefault="007F2F4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 w:rsidRPr="003C6680">
              <w:rPr>
                <w:rFonts w:ascii="Arial Narrow" w:hAnsi="Arial Narrow"/>
                <w:spacing w:val="10"/>
                <w:sz w:val="16"/>
              </w:rPr>
              <w:t>Fax (02 03) 8 00 06-</w:t>
            </w:r>
            <w:r w:rsidR="00492D03">
              <w:rPr>
                <w:rFonts w:ascii="Arial Narrow" w:hAnsi="Arial Narrow"/>
                <w:spacing w:val="10"/>
                <w:sz w:val="16"/>
              </w:rPr>
              <w:t>21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Internet: www.Binnenschiff.de</w:t>
            </w:r>
          </w:p>
          <w:p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  <w:lang w:val="it-IT"/>
              </w:rPr>
            </w:pPr>
            <w:r>
              <w:rPr>
                <w:rFonts w:ascii="Arial Narrow" w:hAnsi="Arial Narrow"/>
                <w:spacing w:val="10"/>
                <w:sz w:val="16"/>
                <w:lang w:val="it-IT"/>
              </w:rPr>
              <w:t xml:space="preserve">E-Mail: </w:t>
            </w:r>
            <w:hyperlink r:id="rId9" w:history="1">
              <w:r w:rsidR="005E071F" w:rsidRPr="008E3C37">
                <w:rPr>
                  <w:rStyle w:val="Hyperlink"/>
                  <w:rFonts w:ascii="Arial Narrow" w:hAnsi="Arial Narrow"/>
                  <w:spacing w:val="10"/>
                  <w:sz w:val="16"/>
                  <w:lang w:val="it-IT"/>
                </w:rPr>
                <w:t>presse@Binnenschiff.de</w:t>
              </w:r>
            </w:hyperlink>
          </w:p>
          <w:p w:rsidR="005E071F" w:rsidRPr="005E071F" w:rsidRDefault="005E071F" w:rsidP="005E071F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ind w:right="357"/>
              <w:rPr>
                <w:rFonts w:ascii="Arial" w:hAnsi="Arial" w:cs="Arial"/>
                <w:spacing w:val="10"/>
                <w:sz w:val="22"/>
                <w:szCs w:val="22"/>
                <w:lang w:val="it-IT"/>
              </w:rPr>
            </w:pPr>
          </w:p>
          <w:p w:rsidR="00B13272" w:rsidRDefault="00106960" w:rsidP="00761204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" w:hAnsi="Arial"/>
                <w:sz w:val="22"/>
                <w:effect w:val="antsRed"/>
              </w:rPr>
            </w:pPr>
            <w:r>
              <w:rPr>
                <w:rFonts w:ascii="Arial" w:hAnsi="Arial"/>
                <w:sz w:val="22"/>
                <w:effect w:val="antsRed"/>
                <w:lang w:val="it-IT"/>
              </w:rPr>
              <w:t>3. April</w:t>
            </w:r>
            <w:r w:rsidR="00C1039A">
              <w:rPr>
                <w:rFonts w:ascii="Arial" w:hAnsi="Arial"/>
                <w:sz w:val="22"/>
                <w:effect w:val="antsRed"/>
                <w:lang w:val="it-IT"/>
              </w:rPr>
              <w:t xml:space="preserve"> 2018</w:t>
            </w:r>
          </w:p>
        </w:tc>
      </w:tr>
    </w:tbl>
    <w:p w:rsidR="00347F75" w:rsidRDefault="00347F75" w:rsidP="00A342F0">
      <w:pPr>
        <w:rPr>
          <w:rFonts w:ascii="Arial" w:hAnsi="Arial" w:cs="Arial"/>
          <w:sz w:val="18"/>
          <w:szCs w:val="22"/>
        </w:rPr>
      </w:pPr>
    </w:p>
    <w:p w:rsidR="00C34700" w:rsidRPr="00C34700" w:rsidRDefault="00C34700" w:rsidP="00A342F0">
      <w:pPr>
        <w:rPr>
          <w:rFonts w:ascii="Arial" w:hAnsi="Arial" w:cs="Arial"/>
          <w:sz w:val="18"/>
          <w:szCs w:val="22"/>
        </w:rPr>
      </w:pPr>
    </w:p>
    <w:p w:rsidR="000F48A4" w:rsidRPr="0014138C" w:rsidRDefault="00106960" w:rsidP="000F48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Moderates Wachstum und boomendes Containergeschäft</w:t>
      </w:r>
    </w:p>
    <w:p w:rsidR="000F48A4" w:rsidRPr="0014138C" w:rsidRDefault="000F48A4" w:rsidP="000F48A4">
      <w:pPr>
        <w:rPr>
          <w:rFonts w:ascii="Arial" w:hAnsi="Arial" w:cs="Arial"/>
          <w:b/>
        </w:rPr>
      </w:pPr>
    </w:p>
    <w:p w:rsidR="000F48A4" w:rsidRPr="0014138C" w:rsidRDefault="00106960" w:rsidP="000F48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Güterbeförderung </w:t>
      </w:r>
      <w:r w:rsidR="00984885">
        <w:rPr>
          <w:rFonts w:ascii="Arial" w:hAnsi="Arial" w:cs="Arial"/>
          <w:b/>
        </w:rPr>
        <w:t>per Binnenschiff</w:t>
      </w:r>
      <w:r>
        <w:rPr>
          <w:rFonts w:ascii="Arial" w:hAnsi="Arial" w:cs="Arial"/>
          <w:b/>
        </w:rPr>
        <w:t xml:space="preserve"> hat sich 2017 positiv entwickelt</w:t>
      </w:r>
    </w:p>
    <w:p w:rsidR="000F48A4" w:rsidRPr="00196EB7" w:rsidRDefault="000F48A4" w:rsidP="000F48A4">
      <w:pPr>
        <w:rPr>
          <w:rFonts w:ascii="Arial" w:hAnsi="Arial" w:cs="Arial"/>
        </w:rPr>
      </w:pPr>
    </w:p>
    <w:p w:rsidR="000F48A4" w:rsidRDefault="00984885" w:rsidP="000F48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Das Statistische Bundesamt (</w:t>
      </w:r>
      <w:proofErr w:type="spellStart"/>
      <w:r>
        <w:rPr>
          <w:sz w:val="22"/>
          <w:szCs w:val="22"/>
        </w:rPr>
        <w:t>Destatis</w:t>
      </w:r>
      <w:proofErr w:type="spellEnd"/>
      <w:r>
        <w:rPr>
          <w:sz w:val="22"/>
          <w:szCs w:val="22"/>
        </w:rPr>
        <w:t>) i</w:t>
      </w:r>
      <w:r w:rsidR="009110FB">
        <w:rPr>
          <w:sz w:val="22"/>
          <w:szCs w:val="22"/>
        </w:rPr>
        <w:t>n</w:t>
      </w:r>
      <w:r>
        <w:rPr>
          <w:sz w:val="22"/>
          <w:szCs w:val="22"/>
        </w:rPr>
        <w:t xml:space="preserve"> Wiesbaden hat heute die Güterverkehrsstatistik der Binnenschifffahrt für das Jahr 2017 bekannt gegeben. Danach wurden insgesamt 227,7 Mio. t Güter über die deutschen Bundeswasserstraßen – und damit 0,6 % mehr Güter als noch im Vo</w:t>
      </w:r>
      <w:r>
        <w:rPr>
          <w:sz w:val="22"/>
          <w:szCs w:val="22"/>
        </w:rPr>
        <w:t>r</w:t>
      </w:r>
      <w:r>
        <w:rPr>
          <w:sz w:val="22"/>
          <w:szCs w:val="22"/>
        </w:rPr>
        <w:t>jahr (221,3 Mio. t) – transportiert. Für die einzelnen Verkehrsbeziehungen ergab sich dabei fo</w:t>
      </w:r>
      <w:r>
        <w:rPr>
          <w:sz w:val="22"/>
          <w:szCs w:val="22"/>
        </w:rPr>
        <w:t>l</w:t>
      </w:r>
      <w:r>
        <w:rPr>
          <w:sz w:val="22"/>
          <w:szCs w:val="22"/>
        </w:rPr>
        <w:t>gendes Bild:</w:t>
      </w:r>
    </w:p>
    <w:p w:rsidR="00984885" w:rsidRDefault="00984885" w:rsidP="000F48A4">
      <w:pPr>
        <w:pStyle w:val="Default"/>
        <w:rPr>
          <w:sz w:val="22"/>
          <w:szCs w:val="22"/>
        </w:rPr>
      </w:pPr>
    </w:p>
    <w:p w:rsidR="00984885" w:rsidRDefault="00984885" w:rsidP="009848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55,4 Mio. t Güter wurden im innerdeutschen Verkehr befördert. Dies entspricht einer pos</w:t>
      </w:r>
      <w:r>
        <w:rPr>
          <w:sz w:val="22"/>
          <w:szCs w:val="22"/>
        </w:rPr>
        <w:t>i</w:t>
      </w:r>
      <w:r>
        <w:rPr>
          <w:sz w:val="22"/>
          <w:szCs w:val="22"/>
        </w:rPr>
        <w:t>tiven Veränderung von 0,4 % gegenüber dem Jahr 2016;</w:t>
      </w:r>
    </w:p>
    <w:p w:rsidR="00984885" w:rsidRDefault="00984885" w:rsidP="009848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51,2 Mio. t entfielen auf den Versand in das Ausland – 4,1 % mehr als im Vorjahreszei</w:t>
      </w:r>
      <w:r>
        <w:rPr>
          <w:sz w:val="22"/>
          <w:szCs w:val="22"/>
        </w:rPr>
        <w:t>t</w:t>
      </w:r>
      <w:r>
        <w:rPr>
          <w:sz w:val="22"/>
          <w:szCs w:val="22"/>
        </w:rPr>
        <w:t>raum;</w:t>
      </w:r>
    </w:p>
    <w:p w:rsidR="00984885" w:rsidRDefault="00984885" w:rsidP="009848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Mit 14,7 Mio. t Güter entwickelte sich auch der Durchgangsverkehr positiv (+ 1,7 %);</w:t>
      </w:r>
    </w:p>
    <w:p w:rsidR="00984885" w:rsidRDefault="00984885" w:rsidP="00984885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Lediglich beim Empfang aus dem Ausland wurde mit 101,5 Mio. t ein leichter Rückgang von 1,1 % zum Jahr 2016 verzeichnet.</w:t>
      </w:r>
    </w:p>
    <w:p w:rsidR="00984885" w:rsidRDefault="00984885" w:rsidP="00984885">
      <w:pPr>
        <w:pStyle w:val="Default"/>
        <w:rPr>
          <w:sz w:val="22"/>
          <w:szCs w:val="22"/>
        </w:rPr>
      </w:pPr>
    </w:p>
    <w:p w:rsidR="009642C8" w:rsidRDefault="009642C8" w:rsidP="00984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Bemerkenswert ist, dass das gute Ergebnis trotz zeitweilig ungünstiger Wasserstände </w:t>
      </w:r>
      <w:r w:rsidR="00750ABE">
        <w:rPr>
          <w:sz w:val="22"/>
          <w:szCs w:val="22"/>
        </w:rPr>
        <w:t xml:space="preserve">durch Niedrig- oder Hochwassersituationen </w:t>
      </w:r>
      <w:r>
        <w:rPr>
          <w:sz w:val="22"/>
          <w:szCs w:val="22"/>
        </w:rPr>
        <w:t>erzielt werden konnte. Dies spricht für die Leistungsfähi</w:t>
      </w:r>
      <w:r>
        <w:rPr>
          <w:sz w:val="22"/>
          <w:szCs w:val="22"/>
        </w:rPr>
        <w:t>g</w:t>
      </w:r>
      <w:r>
        <w:rPr>
          <w:sz w:val="22"/>
          <w:szCs w:val="22"/>
        </w:rPr>
        <w:t>keit und Zuverlässigkeit des Verkehrsträgers Binnenschifffahrt. Jede Tonne, die über die Wa</w:t>
      </w:r>
      <w:r>
        <w:rPr>
          <w:sz w:val="22"/>
          <w:szCs w:val="22"/>
        </w:rPr>
        <w:t>s</w:t>
      </w:r>
      <w:r>
        <w:rPr>
          <w:sz w:val="22"/>
          <w:szCs w:val="22"/>
        </w:rPr>
        <w:t>serstraßen befördert wird, entlastet die überfüllten Straßen und Autobahnen von Lkw-Verkehren. Gütertransport per Binnenschiff hat u.a. durch den geringen Ausstoß an CO</w:t>
      </w:r>
      <w:r w:rsidRPr="00492D0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-Emissionen und </w:t>
      </w:r>
      <w:r w:rsidR="00275024">
        <w:rPr>
          <w:sz w:val="22"/>
          <w:szCs w:val="22"/>
        </w:rPr>
        <w:t>die kaum vorhandene Lärmbelastung außerdem eine äußerst positive Klimabilanz.</w:t>
      </w:r>
    </w:p>
    <w:p w:rsidR="00275024" w:rsidRDefault="00275024" w:rsidP="00984885">
      <w:pPr>
        <w:pStyle w:val="Default"/>
        <w:rPr>
          <w:sz w:val="22"/>
          <w:szCs w:val="22"/>
        </w:rPr>
      </w:pPr>
    </w:p>
    <w:p w:rsidR="00275024" w:rsidRPr="000F48A4" w:rsidRDefault="00275024" w:rsidP="009848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Einen besonderen Boom erlebt weiterhin das Containergeschäft in der Binnenschifffahrt. In 2017 wurden 2,6 Mio. TEU (1 TEU entspricht einem 20-Fuß-Standardcontainer) über das deutsche Wasserstraßennetz transportiert. Damit konnte gegenüber dem Vorjahr ein deutliches Plus von 5,3 % registriert werden.</w:t>
      </w:r>
      <w:r w:rsidR="00492D03">
        <w:rPr>
          <w:sz w:val="22"/>
          <w:szCs w:val="22"/>
        </w:rPr>
        <w:t xml:space="preserve"> Die fortschreitende </w:t>
      </w:r>
      <w:proofErr w:type="spellStart"/>
      <w:r w:rsidR="00492D03">
        <w:rPr>
          <w:sz w:val="22"/>
          <w:szCs w:val="22"/>
        </w:rPr>
        <w:t>Containeri</w:t>
      </w:r>
      <w:r>
        <w:rPr>
          <w:sz w:val="22"/>
          <w:szCs w:val="22"/>
        </w:rPr>
        <w:t>s</w:t>
      </w:r>
      <w:r w:rsidR="00492D03">
        <w:rPr>
          <w:sz w:val="22"/>
          <w:szCs w:val="22"/>
        </w:rPr>
        <w:t>i</w:t>
      </w:r>
      <w:r>
        <w:rPr>
          <w:sz w:val="22"/>
          <w:szCs w:val="22"/>
        </w:rPr>
        <w:t>erung</w:t>
      </w:r>
      <w:proofErr w:type="spellEnd"/>
      <w:r>
        <w:rPr>
          <w:sz w:val="22"/>
          <w:szCs w:val="22"/>
        </w:rPr>
        <w:t xml:space="preserve"> der Waren und der hohe Modal Split der Binnenschifffahrt im </w:t>
      </w:r>
      <w:proofErr w:type="spellStart"/>
      <w:r>
        <w:rPr>
          <w:sz w:val="22"/>
          <w:szCs w:val="22"/>
        </w:rPr>
        <w:t>Hinterlandverkehr</w:t>
      </w:r>
      <w:proofErr w:type="spellEnd"/>
      <w:r>
        <w:rPr>
          <w:sz w:val="22"/>
          <w:szCs w:val="22"/>
        </w:rPr>
        <w:t xml:space="preserve"> der großen Seehäfen waren damit bereits zum achten Mal in Folge Triebfedern für </w:t>
      </w:r>
      <w:r w:rsidR="00983D74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wachsende Containerbeförderung mit Binnenschiffen. </w:t>
      </w:r>
    </w:p>
    <w:p w:rsidR="00EB1364" w:rsidRDefault="00EB1364" w:rsidP="00A342F0">
      <w:pPr>
        <w:rPr>
          <w:rFonts w:ascii="Arial" w:hAnsi="Arial" w:cs="Arial"/>
          <w:b/>
          <w:i/>
          <w:sz w:val="20"/>
          <w:szCs w:val="20"/>
        </w:rPr>
      </w:pPr>
    </w:p>
    <w:p w:rsidR="00EB1364" w:rsidRDefault="00EB1364" w:rsidP="00A342F0">
      <w:pPr>
        <w:rPr>
          <w:rFonts w:ascii="Arial" w:hAnsi="Arial" w:cs="Arial"/>
          <w:b/>
          <w:i/>
          <w:sz w:val="20"/>
          <w:szCs w:val="20"/>
        </w:rPr>
      </w:pPr>
    </w:p>
    <w:p w:rsidR="00EB1364" w:rsidRDefault="00EB1364" w:rsidP="00A342F0">
      <w:pPr>
        <w:rPr>
          <w:rFonts w:ascii="Arial" w:hAnsi="Arial" w:cs="Arial"/>
          <w:b/>
          <w:i/>
          <w:sz w:val="20"/>
          <w:szCs w:val="20"/>
        </w:rPr>
      </w:pPr>
    </w:p>
    <w:p w:rsidR="00631024" w:rsidRPr="000F33AA" w:rsidRDefault="00631024" w:rsidP="00A342F0">
      <w:pPr>
        <w:rPr>
          <w:rFonts w:ascii="Arial" w:hAnsi="Arial" w:cs="Arial"/>
          <w:sz w:val="20"/>
          <w:szCs w:val="20"/>
        </w:rPr>
      </w:pPr>
      <w:r w:rsidRPr="000F33AA">
        <w:rPr>
          <w:rFonts w:ascii="Arial" w:hAnsi="Arial" w:cs="Arial"/>
          <w:b/>
          <w:i/>
          <w:sz w:val="20"/>
          <w:szCs w:val="20"/>
        </w:rPr>
        <w:t xml:space="preserve">Über den BDB e.V.: </w:t>
      </w:r>
    </w:p>
    <w:p w:rsidR="00631024" w:rsidRPr="000F33AA" w:rsidRDefault="00631024" w:rsidP="00A342F0">
      <w:pPr>
        <w:contextualSpacing/>
        <w:rPr>
          <w:rFonts w:ascii="Arial" w:hAnsi="Arial" w:cs="Arial"/>
          <w:i/>
          <w:sz w:val="20"/>
          <w:szCs w:val="20"/>
        </w:rPr>
      </w:pPr>
    </w:p>
    <w:p w:rsidR="00631024" w:rsidRPr="00C01F3F" w:rsidRDefault="00631024" w:rsidP="00A342F0">
      <w:pPr>
        <w:contextualSpacing/>
        <w:rPr>
          <w:rFonts w:ascii="Arial" w:hAnsi="Arial" w:cs="Arial"/>
          <w:i/>
          <w:sz w:val="20"/>
        </w:rPr>
      </w:pPr>
      <w:r w:rsidRPr="000F33AA">
        <w:rPr>
          <w:rFonts w:ascii="Arial" w:hAnsi="Arial" w:cs="Arial"/>
          <w:i/>
          <w:sz w:val="20"/>
          <w:szCs w:val="20"/>
        </w:rPr>
        <w:t>Der 1974 gegründete Bundesverband der Deutschen Binnenschifffahrt e.V. (BDB) vertritt die gemeins</w:t>
      </w:r>
      <w:r w:rsidRPr="000F33AA">
        <w:rPr>
          <w:rFonts w:ascii="Arial" w:hAnsi="Arial" w:cs="Arial"/>
          <w:i/>
          <w:sz w:val="20"/>
          <w:szCs w:val="20"/>
        </w:rPr>
        <w:t>a</w:t>
      </w:r>
      <w:r w:rsidRPr="000F33AA">
        <w:rPr>
          <w:rFonts w:ascii="Arial" w:hAnsi="Arial" w:cs="Arial"/>
          <w:i/>
          <w:sz w:val="20"/>
          <w:szCs w:val="20"/>
        </w:rPr>
        <w:t>men gewerblichen Interessen der Unternehmer in der Güter- sowie der Fahrgastschifffahrt gegenüber Pol</w:t>
      </w:r>
      <w:r w:rsidRPr="000F33AA">
        <w:rPr>
          <w:rFonts w:ascii="Arial" w:hAnsi="Arial" w:cs="Arial"/>
          <w:i/>
          <w:sz w:val="20"/>
          <w:szCs w:val="20"/>
        </w:rPr>
        <w:t>i</w:t>
      </w:r>
      <w:r w:rsidRPr="000F33AA">
        <w:rPr>
          <w:rFonts w:ascii="Arial" w:hAnsi="Arial" w:cs="Arial"/>
          <w:i/>
          <w:sz w:val="20"/>
          <w:szCs w:val="20"/>
        </w:rPr>
        <w:t xml:space="preserve">tik, Verwaltung und sonstigen Institutionen. Mitglieder des BDB sind deshalb Partikuliere, Reedereien und Genossenschaften. </w:t>
      </w:r>
      <w:r w:rsidR="00727D11" w:rsidRPr="000F33AA">
        <w:rPr>
          <w:rFonts w:ascii="Arial" w:hAnsi="Arial" w:cs="Arial"/>
          <w:i/>
          <w:sz w:val="20"/>
          <w:szCs w:val="20"/>
        </w:rPr>
        <w:t xml:space="preserve">Auch </w:t>
      </w:r>
      <w:r w:rsidRPr="000F33AA">
        <w:rPr>
          <w:rFonts w:ascii="Arial" w:hAnsi="Arial" w:cs="Arial"/>
          <w:i/>
          <w:sz w:val="20"/>
          <w:szCs w:val="20"/>
        </w:rPr>
        <w:t>Fördermitglieder unterstützen die Arbeit des BDB. Der Verband mit Sitz in Dui</w:t>
      </w:r>
      <w:r w:rsidRPr="000F33AA">
        <w:rPr>
          <w:rFonts w:ascii="Arial" w:hAnsi="Arial" w:cs="Arial"/>
          <w:i/>
          <w:sz w:val="20"/>
          <w:szCs w:val="20"/>
        </w:rPr>
        <w:t>s</w:t>
      </w:r>
      <w:r w:rsidRPr="000F33AA">
        <w:rPr>
          <w:rFonts w:ascii="Arial" w:hAnsi="Arial" w:cs="Arial"/>
          <w:i/>
          <w:sz w:val="20"/>
          <w:szCs w:val="20"/>
        </w:rPr>
        <w:t>burg und Repräsentanz in Berlin bezieht Stellung zu verkehrspolitischen Fragen und bringt sich aktiv in die Gestaltung der wirtschaftlichen Rahmenbedingungen ein. Seit der Fusion mit dem Arbeitgeberverband (</w:t>
      </w:r>
      <w:proofErr w:type="spellStart"/>
      <w:r w:rsidRPr="000F33AA">
        <w:rPr>
          <w:rFonts w:ascii="Arial" w:hAnsi="Arial" w:cs="Arial"/>
          <w:i/>
          <w:sz w:val="20"/>
          <w:szCs w:val="20"/>
        </w:rPr>
        <w:t>AdB</w:t>
      </w:r>
      <w:proofErr w:type="spellEnd"/>
      <w:r w:rsidRPr="000F33AA">
        <w:rPr>
          <w:rFonts w:ascii="Arial" w:hAnsi="Arial" w:cs="Arial"/>
          <w:i/>
          <w:sz w:val="20"/>
          <w:szCs w:val="20"/>
        </w:rPr>
        <w:t>) im Jahr 2013 vertritt der BDB auch die Belange der Verbandsmitglieder in arbeits-, tarif- und sozia</w:t>
      </w:r>
      <w:r w:rsidRPr="000F33AA">
        <w:rPr>
          <w:rFonts w:ascii="Arial" w:hAnsi="Arial" w:cs="Arial"/>
          <w:i/>
          <w:sz w:val="20"/>
          <w:szCs w:val="20"/>
        </w:rPr>
        <w:t>l</w:t>
      </w:r>
      <w:r w:rsidRPr="000F33AA">
        <w:rPr>
          <w:rFonts w:ascii="Arial" w:hAnsi="Arial" w:cs="Arial"/>
          <w:i/>
          <w:sz w:val="20"/>
          <w:szCs w:val="20"/>
        </w:rPr>
        <w:t>rechtlichen sowie personal-, sozial- und bildungspolitischen</w:t>
      </w:r>
      <w:r w:rsidRPr="00631024">
        <w:rPr>
          <w:rFonts w:ascii="Arial" w:hAnsi="Arial" w:cs="Arial"/>
          <w:i/>
          <w:sz w:val="20"/>
        </w:rPr>
        <w:t xml:space="preserve"> Angelegenheiten und ist Tarifvertragspartner der Gewerkschaft Verdi. Der BDB betreibt das in Duisburg vor Anker liegende Schulschiff „Rhein“ – eine europaweit einzigartige Aus-, Fort- und Weiterbildungseinrichtung für das Binnenschifffahrtsgewerbe. </w:t>
      </w:r>
    </w:p>
    <w:sectPr w:rsidR="00631024" w:rsidRPr="00C01F3F" w:rsidSect="00654156">
      <w:headerReference w:type="default" r:id="rId10"/>
      <w:footerReference w:type="first" r:id="rId11"/>
      <w:pgSz w:w="11906" w:h="16838" w:code="9"/>
      <w:pgMar w:top="993" w:right="991" w:bottom="709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25" w:rsidRDefault="00F41D25">
      <w:r>
        <w:separator/>
      </w:r>
    </w:p>
  </w:endnote>
  <w:endnote w:type="continuationSeparator" w:id="0">
    <w:p w:rsidR="00F41D25" w:rsidRDefault="00F4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17" w:rsidRDefault="00343817" w:rsidP="009C11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25" w:rsidRDefault="00F41D25">
      <w:r>
        <w:separator/>
      </w:r>
    </w:p>
  </w:footnote>
  <w:footnote w:type="continuationSeparator" w:id="0">
    <w:p w:rsidR="00F41D25" w:rsidRDefault="00F4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17" w:rsidRDefault="00343817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750ABE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  <w:p w:rsidR="00343817" w:rsidRDefault="00343817">
    <w:pPr>
      <w:pStyle w:val="Kopfzeile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271"/>
    <w:multiLevelType w:val="hybridMultilevel"/>
    <w:tmpl w:val="A2B69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F53"/>
    <w:multiLevelType w:val="hybridMultilevel"/>
    <w:tmpl w:val="860C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1BE1"/>
    <w:multiLevelType w:val="hybridMultilevel"/>
    <w:tmpl w:val="2D441850"/>
    <w:lvl w:ilvl="0" w:tplc="B81C9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0997"/>
    <w:multiLevelType w:val="hybridMultilevel"/>
    <w:tmpl w:val="52A05C82"/>
    <w:lvl w:ilvl="0" w:tplc="0407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4">
    <w:nsid w:val="3D27473D"/>
    <w:multiLevelType w:val="hybridMultilevel"/>
    <w:tmpl w:val="58AA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61403"/>
    <w:multiLevelType w:val="hybridMultilevel"/>
    <w:tmpl w:val="D7A2E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3FA3"/>
    <w:multiLevelType w:val="hybridMultilevel"/>
    <w:tmpl w:val="2406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92863"/>
    <w:multiLevelType w:val="hybridMultilevel"/>
    <w:tmpl w:val="B34A97AA"/>
    <w:lvl w:ilvl="0" w:tplc="77CEAD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7"/>
    <w:rsid w:val="00005165"/>
    <w:rsid w:val="00005CC0"/>
    <w:rsid w:val="00007A64"/>
    <w:rsid w:val="00013FCE"/>
    <w:rsid w:val="00014148"/>
    <w:rsid w:val="00014383"/>
    <w:rsid w:val="00014DCE"/>
    <w:rsid w:val="00017F1C"/>
    <w:rsid w:val="00021DB1"/>
    <w:rsid w:val="000260F8"/>
    <w:rsid w:val="00027A56"/>
    <w:rsid w:val="00036057"/>
    <w:rsid w:val="00040A67"/>
    <w:rsid w:val="000476C0"/>
    <w:rsid w:val="00050669"/>
    <w:rsid w:val="00051A08"/>
    <w:rsid w:val="00057E41"/>
    <w:rsid w:val="00062EA1"/>
    <w:rsid w:val="00063735"/>
    <w:rsid w:val="00063F84"/>
    <w:rsid w:val="0006641D"/>
    <w:rsid w:val="0007020A"/>
    <w:rsid w:val="0007157F"/>
    <w:rsid w:val="00073950"/>
    <w:rsid w:val="00076798"/>
    <w:rsid w:val="0007749D"/>
    <w:rsid w:val="00077803"/>
    <w:rsid w:val="00082FFA"/>
    <w:rsid w:val="000840CF"/>
    <w:rsid w:val="00084744"/>
    <w:rsid w:val="00087AE6"/>
    <w:rsid w:val="0009340B"/>
    <w:rsid w:val="00094AA4"/>
    <w:rsid w:val="00095000"/>
    <w:rsid w:val="00096AFC"/>
    <w:rsid w:val="000B3049"/>
    <w:rsid w:val="000B5FB1"/>
    <w:rsid w:val="000B6E09"/>
    <w:rsid w:val="000C6712"/>
    <w:rsid w:val="000D2BBA"/>
    <w:rsid w:val="000D3C16"/>
    <w:rsid w:val="000D4895"/>
    <w:rsid w:val="000E3094"/>
    <w:rsid w:val="000E6802"/>
    <w:rsid w:val="000F33AA"/>
    <w:rsid w:val="000F35C0"/>
    <w:rsid w:val="000F3FA8"/>
    <w:rsid w:val="000F48A4"/>
    <w:rsid w:val="000F4A23"/>
    <w:rsid w:val="0010053E"/>
    <w:rsid w:val="00102F1F"/>
    <w:rsid w:val="00106960"/>
    <w:rsid w:val="00106D24"/>
    <w:rsid w:val="00115CFC"/>
    <w:rsid w:val="0012271D"/>
    <w:rsid w:val="0013198E"/>
    <w:rsid w:val="00137385"/>
    <w:rsid w:val="00140182"/>
    <w:rsid w:val="001438EB"/>
    <w:rsid w:val="00143FCD"/>
    <w:rsid w:val="00147352"/>
    <w:rsid w:val="00157EE0"/>
    <w:rsid w:val="00163FE8"/>
    <w:rsid w:val="001678D2"/>
    <w:rsid w:val="001708B9"/>
    <w:rsid w:val="0017110A"/>
    <w:rsid w:val="001722BA"/>
    <w:rsid w:val="001765B0"/>
    <w:rsid w:val="001766E9"/>
    <w:rsid w:val="00177C0A"/>
    <w:rsid w:val="00182CE6"/>
    <w:rsid w:val="001854E4"/>
    <w:rsid w:val="00190EDE"/>
    <w:rsid w:val="00192880"/>
    <w:rsid w:val="00197D3F"/>
    <w:rsid w:val="001B0D89"/>
    <w:rsid w:val="001B1C21"/>
    <w:rsid w:val="001B210F"/>
    <w:rsid w:val="001B78A9"/>
    <w:rsid w:val="001C0EDD"/>
    <w:rsid w:val="001C6564"/>
    <w:rsid w:val="001D01B4"/>
    <w:rsid w:val="001D0D32"/>
    <w:rsid w:val="001E3EA0"/>
    <w:rsid w:val="001E7BCD"/>
    <w:rsid w:val="001F2C14"/>
    <w:rsid w:val="001F4A63"/>
    <w:rsid w:val="001F64A5"/>
    <w:rsid w:val="00202D6B"/>
    <w:rsid w:val="00210C7F"/>
    <w:rsid w:val="00216358"/>
    <w:rsid w:val="00220015"/>
    <w:rsid w:val="0022472B"/>
    <w:rsid w:val="00232418"/>
    <w:rsid w:val="002366FC"/>
    <w:rsid w:val="00246386"/>
    <w:rsid w:val="00246FB1"/>
    <w:rsid w:val="002536C1"/>
    <w:rsid w:val="00254801"/>
    <w:rsid w:val="002560F7"/>
    <w:rsid w:val="00256477"/>
    <w:rsid w:val="002641CE"/>
    <w:rsid w:val="00265A5B"/>
    <w:rsid w:val="00272A26"/>
    <w:rsid w:val="00273D01"/>
    <w:rsid w:val="0027429F"/>
    <w:rsid w:val="00275024"/>
    <w:rsid w:val="00275ABC"/>
    <w:rsid w:val="002876DF"/>
    <w:rsid w:val="00292CAF"/>
    <w:rsid w:val="00296C97"/>
    <w:rsid w:val="0029755C"/>
    <w:rsid w:val="002976A8"/>
    <w:rsid w:val="00297C0F"/>
    <w:rsid w:val="002A0FF5"/>
    <w:rsid w:val="002A2CC5"/>
    <w:rsid w:val="002A725B"/>
    <w:rsid w:val="002B192C"/>
    <w:rsid w:val="002B1F1E"/>
    <w:rsid w:val="002B65D0"/>
    <w:rsid w:val="002B6EAF"/>
    <w:rsid w:val="002C3234"/>
    <w:rsid w:val="002C32A9"/>
    <w:rsid w:val="002D086C"/>
    <w:rsid w:val="002D18C2"/>
    <w:rsid w:val="002D1E46"/>
    <w:rsid w:val="002E01C3"/>
    <w:rsid w:val="002E1258"/>
    <w:rsid w:val="002E7C1E"/>
    <w:rsid w:val="002F1A40"/>
    <w:rsid w:val="002F4ED9"/>
    <w:rsid w:val="002F6A2B"/>
    <w:rsid w:val="00301C89"/>
    <w:rsid w:val="00313D8C"/>
    <w:rsid w:val="00324EAE"/>
    <w:rsid w:val="00331D55"/>
    <w:rsid w:val="00337161"/>
    <w:rsid w:val="003418D7"/>
    <w:rsid w:val="00343817"/>
    <w:rsid w:val="00343B1A"/>
    <w:rsid w:val="0034479A"/>
    <w:rsid w:val="003454B4"/>
    <w:rsid w:val="00347F75"/>
    <w:rsid w:val="003515D2"/>
    <w:rsid w:val="003530AC"/>
    <w:rsid w:val="00353C9F"/>
    <w:rsid w:val="00360DAB"/>
    <w:rsid w:val="003643E7"/>
    <w:rsid w:val="00366651"/>
    <w:rsid w:val="00366FC8"/>
    <w:rsid w:val="00372882"/>
    <w:rsid w:val="00373C64"/>
    <w:rsid w:val="00380353"/>
    <w:rsid w:val="003967FB"/>
    <w:rsid w:val="00396BC3"/>
    <w:rsid w:val="003A129B"/>
    <w:rsid w:val="003B19E1"/>
    <w:rsid w:val="003B373C"/>
    <w:rsid w:val="003B4D2A"/>
    <w:rsid w:val="003B7D27"/>
    <w:rsid w:val="003C6680"/>
    <w:rsid w:val="003C7BD6"/>
    <w:rsid w:val="003D2D3A"/>
    <w:rsid w:val="003E0732"/>
    <w:rsid w:val="003E3F2B"/>
    <w:rsid w:val="003F0194"/>
    <w:rsid w:val="003F33EC"/>
    <w:rsid w:val="004028E0"/>
    <w:rsid w:val="00402DEE"/>
    <w:rsid w:val="0040369C"/>
    <w:rsid w:val="0042110A"/>
    <w:rsid w:val="0042295A"/>
    <w:rsid w:val="0042603A"/>
    <w:rsid w:val="00432171"/>
    <w:rsid w:val="00433B8F"/>
    <w:rsid w:val="00433E50"/>
    <w:rsid w:val="00437B54"/>
    <w:rsid w:val="00440A19"/>
    <w:rsid w:val="00443419"/>
    <w:rsid w:val="0045371E"/>
    <w:rsid w:val="004611C9"/>
    <w:rsid w:val="004626C6"/>
    <w:rsid w:val="00463D08"/>
    <w:rsid w:val="004661BB"/>
    <w:rsid w:val="00470C5E"/>
    <w:rsid w:val="00471140"/>
    <w:rsid w:val="00474E56"/>
    <w:rsid w:val="0047505A"/>
    <w:rsid w:val="00475838"/>
    <w:rsid w:val="004866C4"/>
    <w:rsid w:val="00492D03"/>
    <w:rsid w:val="00497D3C"/>
    <w:rsid w:val="004A052C"/>
    <w:rsid w:val="004A1236"/>
    <w:rsid w:val="004B1D4C"/>
    <w:rsid w:val="004C1DB9"/>
    <w:rsid w:val="004C6B50"/>
    <w:rsid w:val="004D3434"/>
    <w:rsid w:val="004D52CA"/>
    <w:rsid w:val="004E2D0A"/>
    <w:rsid w:val="004E3878"/>
    <w:rsid w:val="004E77EA"/>
    <w:rsid w:val="00500356"/>
    <w:rsid w:val="00500FE6"/>
    <w:rsid w:val="00510DF7"/>
    <w:rsid w:val="00522594"/>
    <w:rsid w:val="00523C2A"/>
    <w:rsid w:val="00524814"/>
    <w:rsid w:val="00525100"/>
    <w:rsid w:val="005257C8"/>
    <w:rsid w:val="00526B22"/>
    <w:rsid w:val="00526FE6"/>
    <w:rsid w:val="0052784E"/>
    <w:rsid w:val="00545319"/>
    <w:rsid w:val="005460F2"/>
    <w:rsid w:val="00546BC5"/>
    <w:rsid w:val="00551B7A"/>
    <w:rsid w:val="00552923"/>
    <w:rsid w:val="00554173"/>
    <w:rsid w:val="005571D5"/>
    <w:rsid w:val="0055746F"/>
    <w:rsid w:val="00562950"/>
    <w:rsid w:val="005645A4"/>
    <w:rsid w:val="00567A09"/>
    <w:rsid w:val="00572439"/>
    <w:rsid w:val="00575C62"/>
    <w:rsid w:val="00577562"/>
    <w:rsid w:val="00582E08"/>
    <w:rsid w:val="00583BAE"/>
    <w:rsid w:val="005957DA"/>
    <w:rsid w:val="005A0A17"/>
    <w:rsid w:val="005A5A59"/>
    <w:rsid w:val="005B3A1C"/>
    <w:rsid w:val="005B3D95"/>
    <w:rsid w:val="005C62C6"/>
    <w:rsid w:val="005D0454"/>
    <w:rsid w:val="005D1360"/>
    <w:rsid w:val="005D33E1"/>
    <w:rsid w:val="005D3D27"/>
    <w:rsid w:val="005D63C6"/>
    <w:rsid w:val="005E071F"/>
    <w:rsid w:val="005E0F6C"/>
    <w:rsid w:val="005F20F2"/>
    <w:rsid w:val="005F3D46"/>
    <w:rsid w:val="005F41B6"/>
    <w:rsid w:val="00603A3F"/>
    <w:rsid w:val="00603B4F"/>
    <w:rsid w:val="006113FA"/>
    <w:rsid w:val="0061449D"/>
    <w:rsid w:val="00614EB7"/>
    <w:rsid w:val="00627443"/>
    <w:rsid w:val="006274EA"/>
    <w:rsid w:val="00631024"/>
    <w:rsid w:val="00633F8B"/>
    <w:rsid w:val="0064095B"/>
    <w:rsid w:val="00646078"/>
    <w:rsid w:val="00647388"/>
    <w:rsid w:val="00647CE8"/>
    <w:rsid w:val="0065208B"/>
    <w:rsid w:val="00654156"/>
    <w:rsid w:val="00655911"/>
    <w:rsid w:val="006614DE"/>
    <w:rsid w:val="00674BAE"/>
    <w:rsid w:val="0068124A"/>
    <w:rsid w:val="006816D1"/>
    <w:rsid w:val="006818DC"/>
    <w:rsid w:val="0068195F"/>
    <w:rsid w:val="00683632"/>
    <w:rsid w:val="00684612"/>
    <w:rsid w:val="006920F7"/>
    <w:rsid w:val="0069271C"/>
    <w:rsid w:val="00693141"/>
    <w:rsid w:val="006A1F2B"/>
    <w:rsid w:val="006A604C"/>
    <w:rsid w:val="006A6570"/>
    <w:rsid w:val="006B25D7"/>
    <w:rsid w:val="006B448A"/>
    <w:rsid w:val="006C51C7"/>
    <w:rsid w:val="006D3111"/>
    <w:rsid w:val="006E1A5F"/>
    <w:rsid w:val="006E25E9"/>
    <w:rsid w:val="006E6CC1"/>
    <w:rsid w:val="006F1C03"/>
    <w:rsid w:val="006F2730"/>
    <w:rsid w:val="006F4626"/>
    <w:rsid w:val="00700C81"/>
    <w:rsid w:val="00702520"/>
    <w:rsid w:val="00704A8B"/>
    <w:rsid w:val="00705F84"/>
    <w:rsid w:val="00706B8B"/>
    <w:rsid w:val="00710CD3"/>
    <w:rsid w:val="007140D5"/>
    <w:rsid w:val="0072052B"/>
    <w:rsid w:val="00727D11"/>
    <w:rsid w:val="00730911"/>
    <w:rsid w:val="0073116D"/>
    <w:rsid w:val="00733204"/>
    <w:rsid w:val="0073334C"/>
    <w:rsid w:val="007414C8"/>
    <w:rsid w:val="007422AE"/>
    <w:rsid w:val="00750ABE"/>
    <w:rsid w:val="00754572"/>
    <w:rsid w:val="00757B2E"/>
    <w:rsid w:val="007606B1"/>
    <w:rsid w:val="00761204"/>
    <w:rsid w:val="007664E3"/>
    <w:rsid w:val="0077005C"/>
    <w:rsid w:val="00774A3C"/>
    <w:rsid w:val="007770B9"/>
    <w:rsid w:val="00786C57"/>
    <w:rsid w:val="00792E06"/>
    <w:rsid w:val="00794F49"/>
    <w:rsid w:val="007A5B9E"/>
    <w:rsid w:val="007A5C88"/>
    <w:rsid w:val="007B23A1"/>
    <w:rsid w:val="007B466C"/>
    <w:rsid w:val="007B4CA7"/>
    <w:rsid w:val="007B65D6"/>
    <w:rsid w:val="007C00CB"/>
    <w:rsid w:val="007C359D"/>
    <w:rsid w:val="007D12D6"/>
    <w:rsid w:val="007D5966"/>
    <w:rsid w:val="007D6700"/>
    <w:rsid w:val="007D6CD8"/>
    <w:rsid w:val="007D761F"/>
    <w:rsid w:val="007E233D"/>
    <w:rsid w:val="007E3FBB"/>
    <w:rsid w:val="007E6C7B"/>
    <w:rsid w:val="007E7A62"/>
    <w:rsid w:val="007E7C8E"/>
    <w:rsid w:val="007F22A7"/>
    <w:rsid w:val="007F2F42"/>
    <w:rsid w:val="007F6FDA"/>
    <w:rsid w:val="007F7A2F"/>
    <w:rsid w:val="00800458"/>
    <w:rsid w:val="00801EFC"/>
    <w:rsid w:val="008033DA"/>
    <w:rsid w:val="00803F14"/>
    <w:rsid w:val="008046E5"/>
    <w:rsid w:val="008123D4"/>
    <w:rsid w:val="00812D15"/>
    <w:rsid w:val="0082311A"/>
    <w:rsid w:val="0083353F"/>
    <w:rsid w:val="0083564C"/>
    <w:rsid w:val="0084299B"/>
    <w:rsid w:val="008524C3"/>
    <w:rsid w:val="0085541B"/>
    <w:rsid w:val="008565C5"/>
    <w:rsid w:val="0086076D"/>
    <w:rsid w:val="008626AC"/>
    <w:rsid w:val="008631C6"/>
    <w:rsid w:val="00865FD7"/>
    <w:rsid w:val="0087399B"/>
    <w:rsid w:val="008815CC"/>
    <w:rsid w:val="00881FAE"/>
    <w:rsid w:val="00883957"/>
    <w:rsid w:val="00892399"/>
    <w:rsid w:val="00894464"/>
    <w:rsid w:val="00897D9A"/>
    <w:rsid w:val="008A1FDE"/>
    <w:rsid w:val="008A266D"/>
    <w:rsid w:val="008B10B4"/>
    <w:rsid w:val="008B2954"/>
    <w:rsid w:val="008B4D44"/>
    <w:rsid w:val="008C086C"/>
    <w:rsid w:val="008C4264"/>
    <w:rsid w:val="008C6F2C"/>
    <w:rsid w:val="008D35ED"/>
    <w:rsid w:val="008D3D54"/>
    <w:rsid w:val="008D4301"/>
    <w:rsid w:val="008D5E2E"/>
    <w:rsid w:val="008E3328"/>
    <w:rsid w:val="008E3B46"/>
    <w:rsid w:val="008F0364"/>
    <w:rsid w:val="008F0F0B"/>
    <w:rsid w:val="008F7BE8"/>
    <w:rsid w:val="00902036"/>
    <w:rsid w:val="00903F46"/>
    <w:rsid w:val="00904477"/>
    <w:rsid w:val="009073E4"/>
    <w:rsid w:val="009110FB"/>
    <w:rsid w:val="0092506D"/>
    <w:rsid w:val="00925A17"/>
    <w:rsid w:val="009316A7"/>
    <w:rsid w:val="00931D78"/>
    <w:rsid w:val="00936657"/>
    <w:rsid w:val="00943B36"/>
    <w:rsid w:val="0095242C"/>
    <w:rsid w:val="009527F6"/>
    <w:rsid w:val="00953FCB"/>
    <w:rsid w:val="00962954"/>
    <w:rsid w:val="009642C8"/>
    <w:rsid w:val="00966E09"/>
    <w:rsid w:val="00972AB2"/>
    <w:rsid w:val="009752F0"/>
    <w:rsid w:val="00983D74"/>
    <w:rsid w:val="00984885"/>
    <w:rsid w:val="00985F80"/>
    <w:rsid w:val="00993C47"/>
    <w:rsid w:val="009A0C4E"/>
    <w:rsid w:val="009A1E00"/>
    <w:rsid w:val="009A3FE4"/>
    <w:rsid w:val="009A7667"/>
    <w:rsid w:val="009C1106"/>
    <w:rsid w:val="009C2098"/>
    <w:rsid w:val="009C3604"/>
    <w:rsid w:val="009C73E2"/>
    <w:rsid w:val="009D4191"/>
    <w:rsid w:val="009D7101"/>
    <w:rsid w:val="009E3D79"/>
    <w:rsid w:val="009E647B"/>
    <w:rsid w:val="009E66A5"/>
    <w:rsid w:val="009F003E"/>
    <w:rsid w:val="009F16B4"/>
    <w:rsid w:val="009F65CD"/>
    <w:rsid w:val="009F7788"/>
    <w:rsid w:val="009F784D"/>
    <w:rsid w:val="00A228DA"/>
    <w:rsid w:val="00A30091"/>
    <w:rsid w:val="00A342F0"/>
    <w:rsid w:val="00A35B18"/>
    <w:rsid w:val="00A41F54"/>
    <w:rsid w:val="00A42359"/>
    <w:rsid w:val="00A43DCF"/>
    <w:rsid w:val="00A44E0E"/>
    <w:rsid w:val="00A4561D"/>
    <w:rsid w:val="00A45D30"/>
    <w:rsid w:val="00A6458A"/>
    <w:rsid w:val="00A65D7D"/>
    <w:rsid w:val="00A70F7C"/>
    <w:rsid w:val="00A82F7F"/>
    <w:rsid w:val="00A86145"/>
    <w:rsid w:val="00A87478"/>
    <w:rsid w:val="00AA4B4B"/>
    <w:rsid w:val="00AA564E"/>
    <w:rsid w:val="00AB1C95"/>
    <w:rsid w:val="00AB6343"/>
    <w:rsid w:val="00AC2E39"/>
    <w:rsid w:val="00AC3580"/>
    <w:rsid w:val="00AD18B6"/>
    <w:rsid w:val="00AD3BF9"/>
    <w:rsid w:val="00AE24E1"/>
    <w:rsid w:val="00AE2779"/>
    <w:rsid w:val="00AE67E8"/>
    <w:rsid w:val="00AF01B6"/>
    <w:rsid w:val="00AF30CA"/>
    <w:rsid w:val="00AF40A1"/>
    <w:rsid w:val="00AF4D1A"/>
    <w:rsid w:val="00B01B81"/>
    <w:rsid w:val="00B05CCF"/>
    <w:rsid w:val="00B13272"/>
    <w:rsid w:val="00B152C6"/>
    <w:rsid w:val="00B202AF"/>
    <w:rsid w:val="00B2726B"/>
    <w:rsid w:val="00B301B7"/>
    <w:rsid w:val="00B31DF4"/>
    <w:rsid w:val="00B324FB"/>
    <w:rsid w:val="00B33D0C"/>
    <w:rsid w:val="00B41D78"/>
    <w:rsid w:val="00B46AE3"/>
    <w:rsid w:val="00B531EF"/>
    <w:rsid w:val="00B55BF5"/>
    <w:rsid w:val="00B56641"/>
    <w:rsid w:val="00B5789D"/>
    <w:rsid w:val="00B67FB6"/>
    <w:rsid w:val="00B705D6"/>
    <w:rsid w:val="00B81403"/>
    <w:rsid w:val="00B81A9C"/>
    <w:rsid w:val="00B87517"/>
    <w:rsid w:val="00B9054F"/>
    <w:rsid w:val="00B939E0"/>
    <w:rsid w:val="00B9619B"/>
    <w:rsid w:val="00B9740D"/>
    <w:rsid w:val="00B9793F"/>
    <w:rsid w:val="00BB320A"/>
    <w:rsid w:val="00BD323A"/>
    <w:rsid w:val="00BD36F0"/>
    <w:rsid w:val="00BE1081"/>
    <w:rsid w:val="00BE1E47"/>
    <w:rsid w:val="00BF79B2"/>
    <w:rsid w:val="00C006C4"/>
    <w:rsid w:val="00C01F3F"/>
    <w:rsid w:val="00C037A7"/>
    <w:rsid w:val="00C03BDC"/>
    <w:rsid w:val="00C05327"/>
    <w:rsid w:val="00C1039A"/>
    <w:rsid w:val="00C133D3"/>
    <w:rsid w:val="00C14046"/>
    <w:rsid w:val="00C15F5E"/>
    <w:rsid w:val="00C17638"/>
    <w:rsid w:val="00C20984"/>
    <w:rsid w:val="00C22B28"/>
    <w:rsid w:val="00C277CE"/>
    <w:rsid w:val="00C3382D"/>
    <w:rsid w:val="00C33A4C"/>
    <w:rsid w:val="00C34700"/>
    <w:rsid w:val="00C35EB3"/>
    <w:rsid w:val="00C427A7"/>
    <w:rsid w:val="00C47C5F"/>
    <w:rsid w:val="00C513E1"/>
    <w:rsid w:val="00C5193C"/>
    <w:rsid w:val="00C51F23"/>
    <w:rsid w:val="00C6779E"/>
    <w:rsid w:val="00C67A84"/>
    <w:rsid w:val="00C72B32"/>
    <w:rsid w:val="00C73F58"/>
    <w:rsid w:val="00C75A1F"/>
    <w:rsid w:val="00C7621B"/>
    <w:rsid w:val="00C83EBF"/>
    <w:rsid w:val="00C90C3C"/>
    <w:rsid w:val="00CA0DFF"/>
    <w:rsid w:val="00CA372D"/>
    <w:rsid w:val="00CA4F7D"/>
    <w:rsid w:val="00CB2C1F"/>
    <w:rsid w:val="00CB5F9B"/>
    <w:rsid w:val="00CC09D6"/>
    <w:rsid w:val="00CC5AAD"/>
    <w:rsid w:val="00CD5B63"/>
    <w:rsid w:val="00CE25A3"/>
    <w:rsid w:val="00CE4A9C"/>
    <w:rsid w:val="00CE7874"/>
    <w:rsid w:val="00CF37EC"/>
    <w:rsid w:val="00CF3E92"/>
    <w:rsid w:val="00CF6FCA"/>
    <w:rsid w:val="00D0044D"/>
    <w:rsid w:val="00D02DC5"/>
    <w:rsid w:val="00D04E25"/>
    <w:rsid w:val="00D07070"/>
    <w:rsid w:val="00D0709F"/>
    <w:rsid w:val="00D11089"/>
    <w:rsid w:val="00D1510A"/>
    <w:rsid w:val="00D22773"/>
    <w:rsid w:val="00D25CD7"/>
    <w:rsid w:val="00D46C0A"/>
    <w:rsid w:val="00D47082"/>
    <w:rsid w:val="00D5155D"/>
    <w:rsid w:val="00D5715E"/>
    <w:rsid w:val="00D631EA"/>
    <w:rsid w:val="00D6325C"/>
    <w:rsid w:val="00D67F41"/>
    <w:rsid w:val="00D74A81"/>
    <w:rsid w:val="00D84FD2"/>
    <w:rsid w:val="00D86C24"/>
    <w:rsid w:val="00D90800"/>
    <w:rsid w:val="00D92D57"/>
    <w:rsid w:val="00D93704"/>
    <w:rsid w:val="00D94EBC"/>
    <w:rsid w:val="00D96915"/>
    <w:rsid w:val="00DA1310"/>
    <w:rsid w:val="00DA18E7"/>
    <w:rsid w:val="00DB1CB6"/>
    <w:rsid w:val="00DB5793"/>
    <w:rsid w:val="00DC447D"/>
    <w:rsid w:val="00DD4265"/>
    <w:rsid w:val="00DD5E57"/>
    <w:rsid w:val="00DD6E76"/>
    <w:rsid w:val="00DF2142"/>
    <w:rsid w:val="00DF2530"/>
    <w:rsid w:val="00DF650C"/>
    <w:rsid w:val="00DF7CB7"/>
    <w:rsid w:val="00E00636"/>
    <w:rsid w:val="00E017F6"/>
    <w:rsid w:val="00E03AF6"/>
    <w:rsid w:val="00E04BE9"/>
    <w:rsid w:val="00E13E18"/>
    <w:rsid w:val="00E154A8"/>
    <w:rsid w:val="00E2541D"/>
    <w:rsid w:val="00E25E5F"/>
    <w:rsid w:val="00E30587"/>
    <w:rsid w:val="00E422A2"/>
    <w:rsid w:val="00E44D09"/>
    <w:rsid w:val="00E45AD0"/>
    <w:rsid w:val="00E45E77"/>
    <w:rsid w:val="00E47E4A"/>
    <w:rsid w:val="00E536AD"/>
    <w:rsid w:val="00E5412A"/>
    <w:rsid w:val="00E578E0"/>
    <w:rsid w:val="00E62DE7"/>
    <w:rsid w:val="00E81DD0"/>
    <w:rsid w:val="00E843CB"/>
    <w:rsid w:val="00E93421"/>
    <w:rsid w:val="00E97FA1"/>
    <w:rsid w:val="00EA471D"/>
    <w:rsid w:val="00EB1364"/>
    <w:rsid w:val="00EB4B66"/>
    <w:rsid w:val="00EB5335"/>
    <w:rsid w:val="00EC1D3C"/>
    <w:rsid w:val="00EC2864"/>
    <w:rsid w:val="00EC3EBC"/>
    <w:rsid w:val="00ED15EB"/>
    <w:rsid w:val="00ED2E06"/>
    <w:rsid w:val="00EE31AB"/>
    <w:rsid w:val="00EE548B"/>
    <w:rsid w:val="00EF1511"/>
    <w:rsid w:val="00EF2C30"/>
    <w:rsid w:val="00F04924"/>
    <w:rsid w:val="00F07CEF"/>
    <w:rsid w:val="00F1054F"/>
    <w:rsid w:val="00F13A04"/>
    <w:rsid w:val="00F1409C"/>
    <w:rsid w:val="00F20F7B"/>
    <w:rsid w:val="00F30574"/>
    <w:rsid w:val="00F32ECF"/>
    <w:rsid w:val="00F41D25"/>
    <w:rsid w:val="00F46C02"/>
    <w:rsid w:val="00F510F4"/>
    <w:rsid w:val="00F5335F"/>
    <w:rsid w:val="00F57BB7"/>
    <w:rsid w:val="00F64D91"/>
    <w:rsid w:val="00F65BD4"/>
    <w:rsid w:val="00F65E4E"/>
    <w:rsid w:val="00F66609"/>
    <w:rsid w:val="00F76CB1"/>
    <w:rsid w:val="00F83209"/>
    <w:rsid w:val="00F8572D"/>
    <w:rsid w:val="00F925A9"/>
    <w:rsid w:val="00F93914"/>
    <w:rsid w:val="00FA3103"/>
    <w:rsid w:val="00FA5564"/>
    <w:rsid w:val="00FB1698"/>
    <w:rsid w:val="00FB6383"/>
    <w:rsid w:val="00FB640C"/>
    <w:rsid w:val="00FC1B70"/>
    <w:rsid w:val="00FC1D1A"/>
    <w:rsid w:val="00FD0CF4"/>
    <w:rsid w:val="00FD101E"/>
    <w:rsid w:val="00FD15C7"/>
    <w:rsid w:val="00FD361E"/>
    <w:rsid w:val="00FD38C1"/>
    <w:rsid w:val="00FD5B96"/>
    <w:rsid w:val="00FD5FED"/>
    <w:rsid w:val="00FD6908"/>
    <w:rsid w:val="00FD690A"/>
    <w:rsid w:val="00FE2A0F"/>
    <w:rsid w:val="00FF0656"/>
    <w:rsid w:val="00FF502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803F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803F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innenschif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Rhein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Inari Schmilewski</cp:lastModifiedBy>
  <cp:revision>2</cp:revision>
  <cp:lastPrinted>2018-04-03T11:50:00Z</cp:lastPrinted>
  <dcterms:created xsi:type="dcterms:W3CDTF">2018-04-04T06:56:00Z</dcterms:created>
  <dcterms:modified xsi:type="dcterms:W3CDTF">2018-04-04T06:56:00Z</dcterms:modified>
</cp:coreProperties>
</file>